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108A"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5C6C9E4F"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3E8C65DE" w14:textId="77777777" w:rsidTr="00E97024">
        <w:tc>
          <w:tcPr>
            <w:tcW w:w="3715" w:type="dxa"/>
          </w:tcPr>
          <w:p w14:paraId="4E021A36"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1FFC5D6F" w14:textId="69F4FC51" w:rsidR="00B87695" w:rsidRDefault="0013528E" w:rsidP="00960744">
            <w:pPr>
              <w:rPr>
                <w:rFonts w:ascii="Arial" w:hAnsi="Arial" w:cs="Arial"/>
              </w:rPr>
            </w:pPr>
            <w:r>
              <w:rPr>
                <w:rFonts w:ascii="Arial" w:hAnsi="Arial" w:cs="Arial"/>
              </w:rPr>
              <w:t xml:space="preserve">Issue </w:t>
            </w:r>
            <w:r w:rsidR="00D47A89">
              <w:rPr>
                <w:rFonts w:ascii="Arial" w:hAnsi="Arial" w:cs="Arial"/>
              </w:rPr>
              <w:t xml:space="preserve">of </w:t>
            </w:r>
            <w:r>
              <w:rPr>
                <w:rFonts w:ascii="Arial" w:hAnsi="Arial" w:cs="Arial"/>
              </w:rPr>
              <w:t xml:space="preserve">a </w:t>
            </w:r>
            <w:r w:rsidR="00CA69DB">
              <w:rPr>
                <w:rFonts w:ascii="Arial" w:hAnsi="Arial" w:cs="Arial"/>
              </w:rPr>
              <w:t xml:space="preserve">Letter of Intent </w:t>
            </w:r>
            <w:r>
              <w:rPr>
                <w:rFonts w:ascii="Arial" w:hAnsi="Arial" w:cs="Arial"/>
              </w:rPr>
              <w:t>to</w:t>
            </w:r>
            <w:r w:rsidR="00CA69DB">
              <w:rPr>
                <w:rFonts w:ascii="Arial" w:hAnsi="Arial" w:cs="Arial"/>
              </w:rPr>
              <w:t xml:space="preserve"> Serco Leisure</w:t>
            </w:r>
            <w:r>
              <w:rPr>
                <w:rFonts w:ascii="Arial" w:hAnsi="Arial" w:cs="Arial"/>
              </w:rPr>
              <w:t xml:space="preserve"> pending the entering in to of the final services contract</w:t>
            </w:r>
          </w:p>
          <w:p w14:paraId="41B45778" w14:textId="6335BF64" w:rsidR="00D47A89" w:rsidRPr="00A96C08" w:rsidRDefault="00D47A89" w:rsidP="00960744">
            <w:pPr>
              <w:rPr>
                <w:rFonts w:ascii="Arial" w:hAnsi="Arial" w:cs="Arial"/>
              </w:rPr>
            </w:pPr>
          </w:p>
        </w:tc>
      </w:tr>
      <w:tr w:rsidR="006F6326" w14:paraId="5536F92D" w14:textId="77777777" w:rsidTr="00E97024">
        <w:tc>
          <w:tcPr>
            <w:tcW w:w="3715" w:type="dxa"/>
          </w:tcPr>
          <w:p w14:paraId="2B2CD63C"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72237471" w14:textId="31071E76" w:rsidR="00263039" w:rsidRPr="00A96C08" w:rsidRDefault="00CA69DB" w:rsidP="008A22C6">
            <w:pPr>
              <w:rPr>
                <w:rFonts w:ascii="Arial" w:hAnsi="Arial" w:cs="Arial"/>
              </w:rPr>
            </w:pPr>
            <w:r>
              <w:rPr>
                <w:rFonts w:ascii="Arial" w:hAnsi="Arial" w:cs="Arial"/>
              </w:rPr>
              <w:t>29</w:t>
            </w:r>
            <w:r w:rsidR="00D47A89">
              <w:rPr>
                <w:rFonts w:ascii="Arial" w:hAnsi="Arial" w:cs="Arial"/>
              </w:rPr>
              <w:t xml:space="preserve"> February 2024</w:t>
            </w:r>
          </w:p>
        </w:tc>
      </w:tr>
      <w:tr w:rsidR="00854133" w14:paraId="6467C732" w14:textId="77777777" w:rsidTr="00E97024">
        <w:tc>
          <w:tcPr>
            <w:tcW w:w="3715" w:type="dxa"/>
          </w:tcPr>
          <w:p w14:paraId="3902235E" w14:textId="3ADEED8E" w:rsidR="00854133" w:rsidRPr="00854133" w:rsidRDefault="00854133" w:rsidP="002611E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1A70AF15" w14:textId="67BE5E49" w:rsidR="00E97024" w:rsidRDefault="005F5A9A" w:rsidP="00E97024">
            <w:pPr>
              <w:rPr>
                <w:rFonts w:ascii="Arial" w:hAnsi="Arial" w:cs="Arial"/>
                <w:color w:val="242424"/>
                <w:shd w:val="clear" w:color="auto" w:fill="FFFFFF"/>
              </w:rPr>
            </w:pPr>
            <w:r>
              <w:rPr>
                <w:rFonts w:ascii="Arial" w:hAnsi="Arial" w:cs="Arial"/>
                <w:color w:val="242424"/>
                <w:shd w:val="clear" w:color="auto" w:fill="FFFFFF"/>
              </w:rPr>
              <w:t xml:space="preserve">Cabinet, </w:t>
            </w:r>
            <w:hyperlink r:id="rId8" w:history="1">
              <w:r w:rsidRPr="00E26B63">
                <w:rPr>
                  <w:rStyle w:val="Hyperlink"/>
                  <w:rFonts w:ascii="Arial" w:hAnsi="Arial" w:cs="Arial"/>
                  <w:shd w:val="clear" w:color="auto" w:fill="FFFFFF"/>
                </w:rPr>
                <w:t>on 24 January 2024</w:t>
              </w:r>
            </w:hyperlink>
            <w:r>
              <w:rPr>
                <w:rFonts w:ascii="Arial" w:hAnsi="Arial" w:cs="Arial"/>
                <w:color w:val="242424"/>
                <w:shd w:val="clear" w:color="auto" w:fill="FFFFFF"/>
              </w:rPr>
              <w:t>, resolved to:</w:t>
            </w:r>
          </w:p>
          <w:p w14:paraId="1CECC63B" w14:textId="77777777" w:rsidR="005F5A9A" w:rsidRDefault="005F5A9A" w:rsidP="00E97024">
            <w:pPr>
              <w:rPr>
                <w:rFonts w:ascii="Arial" w:hAnsi="Arial" w:cs="Arial"/>
                <w:color w:val="242424"/>
                <w:shd w:val="clear" w:color="auto" w:fill="FFFFFF"/>
              </w:rPr>
            </w:pPr>
          </w:p>
          <w:p w14:paraId="0220FD28" w14:textId="0D2A9794" w:rsidR="005F5A9A" w:rsidRDefault="005F5A9A" w:rsidP="005F5A9A">
            <w:pPr>
              <w:pStyle w:val="ListParagraph"/>
              <w:numPr>
                <w:ilvl w:val="0"/>
                <w:numId w:val="8"/>
              </w:numPr>
              <w:ind w:left="412" w:hanging="412"/>
              <w:rPr>
                <w:rFonts w:ascii="Arial" w:hAnsi="Arial" w:cs="Arial"/>
              </w:rPr>
            </w:pPr>
            <w:r>
              <w:rPr>
                <w:rFonts w:ascii="Arial" w:hAnsi="Arial" w:cs="Arial"/>
              </w:rPr>
              <w:t>Award a ten-year contract (with a five year extension option) for managing and developing the Council’s three leisure centres, Hinksey Outdoor Pool and the Oxford Ice Rink to Serco Leisure Ltd, subject to officers completing necessary due diligence and pre-contract negotiations; and</w:t>
            </w:r>
          </w:p>
          <w:p w14:paraId="3605B93F" w14:textId="77777777" w:rsidR="005F5A9A" w:rsidRDefault="005F5A9A" w:rsidP="005F5A9A">
            <w:pPr>
              <w:pStyle w:val="ListParagraph"/>
              <w:ind w:left="412" w:hanging="412"/>
              <w:rPr>
                <w:rFonts w:ascii="Arial" w:hAnsi="Arial" w:cs="Arial"/>
              </w:rPr>
            </w:pPr>
          </w:p>
          <w:p w14:paraId="0471BE8F" w14:textId="427D93BC" w:rsidR="005F5A9A" w:rsidRDefault="005F5A9A" w:rsidP="005F5A9A">
            <w:pPr>
              <w:pStyle w:val="ListParagraph"/>
              <w:numPr>
                <w:ilvl w:val="0"/>
                <w:numId w:val="8"/>
              </w:numPr>
              <w:ind w:left="412" w:hanging="412"/>
              <w:rPr>
                <w:rFonts w:ascii="Arial" w:hAnsi="Arial" w:cs="Arial"/>
              </w:rPr>
            </w:pPr>
            <w:r>
              <w:rPr>
                <w:rFonts w:ascii="Arial" w:hAnsi="Arial" w:cs="Arial"/>
              </w:rPr>
              <w:t>Delegate authority to the Interim Executive Director (Communities and People), in consultation with the Head of Financial Services (S151 Officer), Head of Law and Governance (Monitoring Officer) and the Cabinet Member for Leisure and Parks to:</w:t>
            </w:r>
          </w:p>
          <w:p w14:paraId="66996604" w14:textId="77777777" w:rsidR="005F5A9A" w:rsidRPr="005F5A9A" w:rsidRDefault="005F5A9A" w:rsidP="005F5A9A">
            <w:pPr>
              <w:rPr>
                <w:rFonts w:ascii="Arial" w:hAnsi="Arial" w:cs="Arial"/>
              </w:rPr>
            </w:pPr>
          </w:p>
          <w:p w14:paraId="189DA16C" w14:textId="10B52115" w:rsidR="005F5A9A" w:rsidRDefault="005F5A9A" w:rsidP="005F5A9A">
            <w:pPr>
              <w:pStyle w:val="ListParagraph"/>
              <w:numPr>
                <w:ilvl w:val="0"/>
                <w:numId w:val="9"/>
              </w:numPr>
              <w:ind w:left="846" w:hanging="420"/>
              <w:rPr>
                <w:rFonts w:ascii="Arial" w:hAnsi="Arial" w:cs="Arial"/>
              </w:rPr>
            </w:pPr>
            <w:r>
              <w:rPr>
                <w:rFonts w:ascii="Arial" w:hAnsi="Arial" w:cs="Arial"/>
              </w:rPr>
              <w:t>Complete due diligence, contract negotiation and final</w:t>
            </w:r>
            <w:r w:rsidR="00D47A89">
              <w:rPr>
                <w:rFonts w:ascii="Arial" w:hAnsi="Arial" w:cs="Arial"/>
              </w:rPr>
              <w:t>ise</w:t>
            </w:r>
            <w:r>
              <w:rPr>
                <w:rFonts w:ascii="Arial" w:hAnsi="Arial" w:cs="Arial"/>
              </w:rPr>
              <w:t xml:space="preserve"> contract terms prior to the award of the contract</w:t>
            </w:r>
            <w:r w:rsidR="0055474B">
              <w:rPr>
                <w:rFonts w:ascii="Arial" w:hAnsi="Arial" w:cs="Arial"/>
              </w:rPr>
              <w:t>; and</w:t>
            </w:r>
          </w:p>
          <w:p w14:paraId="6B5CA918" w14:textId="4CDA5962" w:rsidR="0055474B" w:rsidRPr="0055474B" w:rsidRDefault="0055474B" w:rsidP="0055474B">
            <w:pPr>
              <w:pStyle w:val="ListParagraph"/>
              <w:numPr>
                <w:ilvl w:val="0"/>
                <w:numId w:val="9"/>
              </w:numPr>
              <w:ind w:left="860" w:hanging="420"/>
              <w:rPr>
                <w:rFonts w:ascii="Arial" w:hAnsi="Arial" w:cs="Arial"/>
              </w:rPr>
            </w:pPr>
            <w:r w:rsidRPr="0055474B">
              <w:rPr>
                <w:rFonts w:ascii="Arial" w:hAnsi="Arial" w:cs="Arial"/>
              </w:rPr>
              <w:t>agree, subject to the limits set by procurement law and the Council’s Constitution and for a maximum period of 2 months from the contract start date, interim arrangements for the delivery of the contract services by Serco Leisure Ltd where necessary to allow them to complete contract mobilisation after 29 March 2024</w:t>
            </w:r>
            <w:r>
              <w:rPr>
                <w:rFonts w:ascii="Arial" w:hAnsi="Arial" w:cs="Arial"/>
              </w:rPr>
              <w:t>.</w:t>
            </w:r>
          </w:p>
          <w:p w14:paraId="221395D5" w14:textId="2FE8FF79" w:rsidR="005F5A9A" w:rsidRPr="005F5A9A" w:rsidRDefault="005F5A9A" w:rsidP="005F5A9A">
            <w:pPr>
              <w:pStyle w:val="ListParagraph"/>
              <w:ind w:left="846"/>
              <w:rPr>
                <w:rFonts w:ascii="Arial" w:hAnsi="Arial" w:cs="Arial"/>
              </w:rPr>
            </w:pPr>
          </w:p>
        </w:tc>
      </w:tr>
      <w:tr w:rsidR="00B87695" w14:paraId="02CEC6D4" w14:textId="77777777" w:rsidTr="00E97024">
        <w:tc>
          <w:tcPr>
            <w:tcW w:w="3715" w:type="dxa"/>
          </w:tcPr>
          <w:p w14:paraId="7C51B98E" w14:textId="0635B6BD"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60812EBB" w14:textId="57784CCE" w:rsidR="006247C4" w:rsidRDefault="00CA69DB" w:rsidP="00CA69DB">
            <w:pPr>
              <w:rPr>
                <w:rFonts w:ascii="Arial" w:hAnsi="Arial" w:cs="Arial"/>
              </w:rPr>
            </w:pPr>
            <w:r>
              <w:rPr>
                <w:rFonts w:ascii="Arial" w:hAnsi="Arial" w:cs="Arial"/>
              </w:rPr>
              <w:t>To issue a letter of intent to Serco Leisure</w:t>
            </w:r>
            <w:r w:rsidR="0013528E">
              <w:rPr>
                <w:rFonts w:ascii="Arial" w:hAnsi="Arial" w:cs="Arial"/>
              </w:rPr>
              <w:t xml:space="preserve"> on the basis that they have authority to mobilise for the commencement of the contract on 30 March 2024. In the event that the Council does not enter into the contract with Serco Leisure, that the Council will reimburse them for costs incurred in relation to mobilisation up to a total cost of </w:t>
            </w:r>
            <w:r>
              <w:rPr>
                <w:rFonts w:ascii="Arial" w:hAnsi="Arial" w:cs="Arial"/>
              </w:rPr>
              <w:t>£750k</w:t>
            </w:r>
            <w:r w:rsidR="0013528E">
              <w:rPr>
                <w:rFonts w:ascii="Arial" w:hAnsi="Arial" w:cs="Arial"/>
              </w:rPr>
              <w:t xml:space="preserve">. Unless the Council terminates the letter without entering in to the contract with Serco Leisure no payment will be made to Serco Leisure. </w:t>
            </w:r>
            <w:r>
              <w:rPr>
                <w:rFonts w:ascii="Arial" w:hAnsi="Arial" w:cs="Arial"/>
              </w:rPr>
              <w:t xml:space="preserve"> </w:t>
            </w:r>
          </w:p>
          <w:p w14:paraId="6648681B" w14:textId="55B01E24" w:rsidR="00D47A89" w:rsidRPr="00A96C08" w:rsidRDefault="00D47A89" w:rsidP="00CA69DB">
            <w:pPr>
              <w:rPr>
                <w:rFonts w:ascii="Arial" w:hAnsi="Arial" w:cs="Arial"/>
              </w:rPr>
            </w:pPr>
          </w:p>
        </w:tc>
      </w:tr>
      <w:tr w:rsidR="00373F5D" w14:paraId="17DBAAFA" w14:textId="77777777" w:rsidTr="00E97024">
        <w:tc>
          <w:tcPr>
            <w:tcW w:w="3715" w:type="dxa"/>
          </w:tcPr>
          <w:p w14:paraId="51AE5F86" w14:textId="56EAAC1A" w:rsidR="00373F5D" w:rsidRPr="00373F5D" w:rsidRDefault="00373F5D" w:rsidP="00C678ED">
            <w:pPr>
              <w:spacing w:before="120" w:after="120"/>
              <w:rPr>
                <w:rFonts w:ascii="Arial" w:hAnsi="Arial" w:cs="Arial"/>
              </w:rPr>
            </w:pPr>
            <w:r>
              <w:rPr>
                <w:rFonts w:ascii="Arial" w:hAnsi="Arial" w:cs="Arial"/>
                <w:b/>
              </w:rPr>
              <w:t xml:space="preserve">Purpose: </w:t>
            </w:r>
          </w:p>
        </w:tc>
        <w:tc>
          <w:tcPr>
            <w:tcW w:w="6209" w:type="dxa"/>
          </w:tcPr>
          <w:p w14:paraId="3F4896C1" w14:textId="77777777" w:rsidR="00960744" w:rsidRDefault="0013528E" w:rsidP="00960744">
            <w:pPr>
              <w:rPr>
                <w:rFonts w:ascii="Arial" w:hAnsi="Arial" w:cs="Arial"/>
              </w:rPr>
            </w:pPr>
            <w:r>
              <w:rPr>
                <w:rFonts w:ascii="Arial" w:hAnsi="Arial" w:cs="Arial"/>
              </w:rPr>
              <w:t>This will allow Serco leisure to mobilise prior to the contract being signed in order to ensure that they can successfully mobilise ready for the start of their leisure management contract on 30 March 2024.</w:t>
            </w:r>
          </w:p>
          <w:p w14:paraId="29936D7A" w14:textId="03D93811" w:rsidR="00D47A89" w:rsidRPr="00A96C08" w:rsidRDefault="00D47A89" w:rsidP="00960744">
            <w:pPr>
              <w:rPr>
                <w:rFonts w:ascii="Arial" w:hAnsi="Arial" w:cs="Arial"/>
              </w:rPr>
            </w:pPr>
          </w:p>
        </w:tc>
      </w:tr>
      <w:tr w:rsidR="00DC2E8D" w14:paraId="5E173F9A" w14:textId="77777777" w:rsidTr="00E97024">
        <w:tc>
          <w:tcPr>
            <w:tcW w:w="3715" w:type="dxa"/>
          </w:tcPr>
          <w:p w14:paraId="7423E76D" w14:textId="77777777" w:rsidR="00DC2E8D"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p w14:paraId="613B0180" w14:textId="5B15F34E" w:rsidR="00D47A89" w:rsidRPr="008E4629" w:rsidRDefault="00D47A89" w:rsidP="00C678ED">
            <w:pPr>
              <w:spacing w:before="120" w:after="120"/>
              <w:rPr>
                <w:rFonts w:ascii="Arial" w:hAnsi="Arial" w:cs="Arial"/>
              </w:rPr>
            </w:pPr>
          </w:p>
        </w:tc>
        <w:tc>
          <w:tcPr>
            <w:tcW w:w="6209" w:type="dxa"/>
          </w:tcPr>
          <w:p w14:paraId="6DEE6592" w14:textId="793776BC" w:rsidR="00757726" w:rsidRDefault="00CA69DB" w:rsidP="00757726">
            <w:pPr>
              <w:rPr>
                <w:rFonts w:ascii="Arial" w:hAnsi="Arial" w:cs="Arial"/>
              </w:rPr>
            </w:pPr>
            <w:r>
              <w:rPr>
                <w:rFonts w:ascii="Arial" w:hAnsi="Arial" w:cs="Arial"/>
              </w:rPr>
              <w:t>The decision is needed as the contract is not ready for signing yet</w:t>
            </w:r>
            <w:r w:rsidR="00135C85">
              <w:rPr>
                <w:rFonts w:ascii="Arial" w:hAnsi="Arial" w:cs="Arial"/>
              </w:rPr>
              <w:t>,</w:t>
            </w:r>
            <w:r>
              <w:rPr>
                <w:rFonts w:ascii="Arial" w:hAnsi="Arial" w:cs="Arial"/>
              </w:rPr>
              <w:t xml:space="preserve"> but is programmed to be complete on or before 29 March.</w:t>
            </w:r>
          </w:p>
          <w:p w14:paraId="2FB56CAF" w14:textId="58A5DBCE" w:rsidR="00D47A89" w:rsidRPr="00A96C08" w:rsidRDefault="00D47A89" w:rsidP="00757726">
            <w:pPr>
              <w:rPr>
                <w:rFonts w:ascii="Arial" w:hAnsi="Arial" w:cs="Arial"/>
              </w:rPr>
            </w:pPr>
          </w:p>
        </w:tc>
      </w:tr>
      <w:tr w:rsidR="00B87695" w14:paraId="17247DE4" w14:textId="77777777" w:rsidTr="00E97024">
        <w:tc>
          <w:tcPr>
            <w:tcW w:w="3715" w:type="dxa"/>
          </w:tcPr>
          <w:p w14:paraId="3CEFE278" w14:textId="33B85780"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p>
        </w:tc>
        <w:tc>
          <w:tcPr>
            <w:tcW w:w="6209" w:type="dxa"/>
          </w:tcPr>
          <w:p w14:paraId="53E70089" w14:textId="77777777" w:rsidR="00E97024" w:rsidRDefault="00CA69DB" w:rsidP="008A22C6">
            <w:pPr>
              <w:rPr>
                <w:rFonts w:ascii="Arial" w:hAnsi="Arial" w:cs="Arial"/>
              </w:rPr>
            </w:pPr>
            <w:r>
              <w:rPr>
                <w:rFonts w:ascii="Arial" w:hAnsi="Arial" w:cs="Arial"/>
              </w:rPr>
              <w:t>Peter Matthew</w:t>
            </w:r>
            <w:r w:rsidR="00D47A89">
              <w:rPr>
                <w:rFonts w:ascii="Arial" w:hAnsi="Arial" w:cs="Arial"/>
              </w:rPr>
              <w:t xml:space="preserve">, </w:t>
            </w:r>
            <w:r>
              <w:rPr>
                <w:rFonts w:ascii="Arial" w:hAnsi="Arial" w:cs="Arial"/>
              </w:rPr>
              <w:t xml:space="preserve">Executive Director </w:t>
            </w:r>
            <w:r w:rsidR="00D47A89">
              <w:rPr>
                <w:rFonts w:ascii="Arial" w:hAnsi="Arial" w:cs="Arial"/>
              </w:rPr>
              <w:t>(</w:t>
            </w:r>
            <w:r>
              <w:rPr>
                <w:rFonts w:ascii="Arial" w:hAnsi="Arial" w:cs="Arial"/>
              </w:rPr>
              <w:t>Communities and People</w:t>
            </w:r>
            <w:r w:rsidR="00D47A89">
              <w:rPr>
                <w:rFonts w:ascii="Arial" w:hAnsi="Arial" w:cs="Arial"/>
              </w:rPr>
              <w:t>)</w:t>
            </w:r>
          </w:p>
          <w:p w14:paraId="59CFE22B" w14:textId="4201A36A" w:rsidR="00D47A89" w:rsidRPr="00A96C08" w:rsidRDefault="00D47A89" w:rsidP="008A22C6">
            <w:pPr>
              <w:rPr>
                <w:rFonts w:ascii="Arial" w:hAnsi="Arial" w:cs="Arial"/>
              </w:rPr>
            </w:pPr>
          </w:p>
        </w:tc>
      </w:tr>
      <w:tr w:rsidR="006F6326" w14:paraId="14978916" w14:textId="77777777" w:rsidTr="00E97024">
        <w:tc>
          <w:tcPr>
            <w:tcW w:w="3715" w:type="dxa"/>
          </w:tcPr>
          <w:p w14:paraId="6DFE4760" w14:textId="54A21F82"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F11FD1">
              <w:rPr>
                <w:rFonts w:ascii="Arial" w:hAnsi="Arial" w:cs="Arial"/>
              </w:rPr>
              <w:t xml:space="preserve"> </w:t>
            </w:r>
          </w:p>
        </w:tc>
        <w:tc>
          <w:tcPr>
            <w:tcW w:w="6209" w:type="dxa"/>
          </w:tcPr>
          <w:p w14:paraId="09FDDA4E" w14:textId="6E3C28F4" w:rsidR="00263039" w:rsidRDefault="00CA69DB" w:rsidP="00960744">
            <w:pPr>
              <w:rPr>
                <w:rFonts w:ascii="Arial" w:hAnsi="Arial" w:cs="Arial"/>
              </w:rPr>
            </w:pPr>
            <w:bookmarkStart w:id="0" w:name="_Hlk160114853"/>
            <w:r>
              <w:rPr>
                <w:rFonts w:ascii="Arial" w:hAnsi="Arial" w:cs="Arial"/>
              </w:rPr>
              <w:t xml:space="preserve">Wait until the contract has been signed. This was </w:t>
            </w:r>
            <w:r w:rsidR="0013528E">
              <w:rPr>
                <w:rFonts w:ascii="Arial" w:hAnsi="Arial" w:cs="Arial"/>
              </w:rPr>
              <w:t>not considered appropriate given that it would not be possible to require Serco Leisure to continue mobilisation at risk whilst no commitment from the Council to either reimburse or contract with them is place.</w:t>
            </w:r>
            <w:bookmarkEnd w:id="0"/>
            <w:r w:rsidR="0013528E">
              <w:rPr>
                <w:rFonts w:ascii="Arial" w:hAnsi="Arial" w:cs="Arial"/>
              </w:rPr>
              <w:t xml:space="preserve"> </w:t>
            </w:r>
          </w:p>
          <w:p w14:paraId="4F052CE1" w14:textId="6A9FA806" w:rsidR="00D47A89" w:rsidRPr="00A96C08" w:rsidRDefault="00D47A89" w:rsidP="00960744">
            <w:pPr>
              <w:rPr>
                <w:rFonts w:ascii="Arial" w:hAnsi="Arial" w:cs="Arial"/>
              </w:rPr>
            </w:pPr>
          </w:p>
        </w:tc>
      </w:tr>
      <w:tr w:rsidR="006F6326" w14:paraId="7ED7D352" w14:textId="77777777" w:rsidTr="00D47A89">
        <w:tc>
          <w:tcPr>
            <w:tcW w:w="3715" w:type="dxa"/>
          </w:tcPr>
          <w:p w14:paraId="1472C033" w14:textId="6AAC99EE"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114428A4" w14:textId="360F92CE" w:rsidR="006F6326" w:rsidRPr="00A96C08" w:rsidRDefault="00D47A89" w:rsidP="008A22C6">
            <w:pPr>
              <w:rPr>
                <w:rFonts w:ascii="Arial" w:hAnsi="Arial" w:cs="Arial"/>
              </w:rPr>
            </w:pPr>
            <w:r>
              <w:rPr>
                <w:rFonts w:ascii="Arial" w:hAnsi="Arial" w:cs="Arial"/>
              </w:rPr>
              <w:t>None</w:t>
            </w:r>
          </w:p>
        </w:tc>
      </w:tr>
      <w:tr w:rsidR="006F6326" w14:paraId="76B1F24D" w14:textId="77777777" w:rsidTr="00E97024">
        <w:tc>
          <w:tcPr>
            <w:tcW w:w="3715" w:type="dxa"/>
          </w:tcPr>
          <w:p w14:paraId="38D2F663" w14:textId="0E7FC66D"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104308B6" w14:textId="77777777" w:rsidR="006F6326" w:rsidRPr="00A96C08" w:rsidRDefault="00CA69DB" w:rsidP="008A22C6">
            <w:pPr>
              <w:rPr>
                <w:rFonts w:ascii="Arial" w:hAnsi="Arial" w:cs="Arial"/>
              </w:rPr>
            </w:pPr>
            <w:r>
              <w:rPr>
                <w:rFonts w:ascii="Arial" w:hAnsi="Arial" w:cs="Arial"/>
              </w:rPr>
              <w:t>Key</w:t>
            </w:r>
          </w:p>
        </w:tc>
      </w:tr>
      <w:tr w:rsidR="006F6326" w14:paraId="0FAA20A9" w14:textId="77777777" w:rsidTr="00E97024">
        <w:tc>
          <w:tcPr>
            <w:tcW w:w="3715" w:type="dxa"/>
          </w:tcPr>
          <w:p w14:paraId="23A9590E" w14:textId="56EBF20D"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32CA22E9" w14:textId="77777777" w:rsidR="006F6326" w:rsidRPr="00A96C08" w:rsidRDefault="00CA69DB" w:rsidP="008A22C6">
            <w:pPr>
              <w:rPr>
                <w:rFonts w:ascii="Arial" w:hAnsi="Arial" w:cs="Arial"/>
              </w:rPr>
            </w:pPr>
            <w:r>
              <w:rPr>
                <w:rFonts w:ascii="Arial" w:hAnsi="Arial" w:cs="Arial"/>
              </w:rPr>
              <w:t>More than 2</w:t>
            </w:r>
          </w:p>
        </w:tc>
      </w:tr>
      <w:tr w:rsidR="006F6326" w14:paraId="5C29C9E7" w14:textId="77777777" w:rsidTr="00E97024">
        <w:tc>
          <w:tcPr>
            <w:tcW w:w="3715" w:type="dxa"/>
          </w:tcPr>
          <w:p w14:paraId="0CB3A8F9" w14:textId="34B1CE3D"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63660710" w14:textId="2C0E4ED4" w:rsidR="006F6326" w:rsidRPr="00A96C08" w:rsidRDefault="00CA69DB" w:rsidP="008A22C6">
            <w:pPr>
              <w:rPr>
                <w:rFonts w:ascii="Arial" w:hAnsi="Arial" w:cs="Arial"/>
              </w:rPr>
            </w:pPr>
            <w:r>
              <w:rPr>
                <w:rFonts w:ascii="Arial" w:hAnsi="Arial" w:cs="Arial"/>
              </w:rPr>
              <w:t>N</w:t>
            </w:r>
            <w:r w:rsidR="00D47A89">
              <w:rPr>
                <w:rFonts w:ascii="Arial" w:hAnsi="Arial" w:cs="Arial"/>
              </w:rPr>
              <w:t>one</w:t>
            </w:r>
          </w:p>
        </w:tc>
      </w:tr>
      <w:tr w:rsidR="00B87695" w14:paraId="60BE2579" w14:textId="77777777" w:rsidTr="00E97024">
        <w:tc>
          <w:tcPr>
            <w:tcW w:w="3715" w:type="dxa"/>
          </w:tcPr>
          <w:p w14:paraId="4A337BA2"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341AD217" w14:textId="77777777" w:rsidR="003505E0" w:rsidRDefault="003505E0" w:rsidP="003505E0">
            <w:pPr>
              <w:spacing w:before="120"/>
              <w:rPr>
                <w:rFonts w:ascii="Arial" w:hAnsi="Arial" w:cs="Arial"/>
                <w:b/>
              </w:rPr>
            </w:pPr>
            <w:r w:rsidRPr="003505E0">
              <w:rPr>
                <w:rFonts w:ascii="Arial" w:hAnsi="Arial" w:cs="Arial"/>
                <w:b/>
              </w:rPr>
              <w:t>Name &amp; title:</w:t>
            </w:r>
          </w:p>
          <w:p w14:paraId="03FA86D7"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3D138859" w14:textId="77777777" w:rsidR="00960744" w:rsidRDefault="00CA69DB" w:rsidP="008A22C6">
            <w:pPr>
              <w:rPr>
                <w:rFonts w:ascii="Arial" w:hAnsi="Arial" w:cs="Arial"/>
              </w:rPr>
            </w:pPr>
            <w:r>
              <w:rPr>
                <w:rFonts w:ascii="Arial" w:hAnsi="Arial" w:cs="Arial"/>
              </w:rPr>
              <w:t>Hagan Lewisman</w:t>
            </w:r>
          </w:p>
          <w:p w14:paraId="3162988C" w14:textId="77777777" w:rsidR="00CA69DB" w:rsidRDefault="00CA69DB" w:rsidP="008A22C6">
            <w:pPr>
              <w:rPr>
                <w:rFonts w:ascii="Arial" w:hAnsi="Arial" w:cs="Arial"/>
              </w:rPr>
            </w:pPr>
            <w:r>
              <w:rPr>
                <w:rFonts w:ascii="Arial" w:hAnsi="Arial" w:cs="Arial"/>
              </w:rPr>
              <w:t>Active Communities Manager</w:t>
            </w:r>
          </w:p>
          <w:p w14:paraId="2E830103" w14:textId="77777777" w:rsidR="00CA69DB" w:rsidRDefault="00CA69DB" w:rsidP="008A22C6">
            <w:pPr>
              <w:rPr>
                <w:rFonts w:ascii="Arial" w:hAnsi="Arial" w:cs="Arial"/>
              </w:rPr>
            </w:pPr>
          </w:p>
          <w:p w14:paraId="72CA94DF" w14:textId="77777777" w:rsidR="00CA69DB" w:rsidRPr="00A96C08" w:rsidRDefault="00CA69DB" w:rsidP="008A22C6">
            <w:pPr>
              <w:rPr>
                <w:rFonts w:ascii="Arial" w:hAnsi="Arial" w:cs="Arial"/>
              </w:rPr>
            </w:pPr>
            <w:r>
              <w:rPr>
                <w:rFonts w:ascii="Arial" w:hAnsi="Arial" w:cs="Arial"/>
              </w:rPr>
              <w:t>29/02/24</w:t>
            </w:r>
          </w:p>
        </w:tc>
      </w:tr>
    </w:tbl>
    <w:p w14:paraId="79B07389" w14:textId="77777777" w:rsidR="002611EB" w:rsidRDefault="002611EB" w:rsidP="008A22C6"/>
    <w:p w14:paraId="014D5425" w14:textId="77777777" w:rsidR="005C60B2" w:rsidRDefault="005C60B2" w:rsidP="008A22C6"/>
    <w:p w14:paraId="0EA1CF35"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7096EDD5"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1C2A8F2F" w14:textId="77777777" w:rsidTr="00FA34FE">
        <w:trPr>
          <w:trHeight w:val="516"/>
        </w:trPr>
        <w:tc>
          <w:tcPr>
            <w:tcW w:w="2836" w:type="dxa"/>
          </w:tcPr>
          <w:p w14:paraId="692EF7F4"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49EB3FB4"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60F7C417"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0AB9A096" w14:textId="77777777" w:rsidTr="00FA34FE">
        <w:trPr>
          <w:trHeight w:val="516"/>
        </w:trPr>
        <w:tc>
          <w:tcPr>
            <w:tcW w:w="2836" w:type="dxa"/>
            <w:vAlign w:val="center"/>
          </w:tcPr>
          <w:p w14:paraId="27C3B5F9"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1A28D844" w14:textId="3BF2ED10" w:rsidR="005C60B2" w:rsidRPr="005C60B2" w:rsidRDefault="005C60B2" w:rsidP="005C60B2">
            <w:pPr>
              <w:spacing w:before="120" w:after="120"/>
              <w:rPr>
                <w:rFonts w:ascii="Arial" w:hAnsi="Arial" w:cs="Arial"/>
              </w:rPr>
            </w:pPr>
          </w:p>
        </w:tc>
        <w:tc>
          <w:tcPr>
            <w:tcW w:w="5103" w:type="dxa"/>
            <w:vAlign w:val="center"/>
          </w:tcPr>
          <w:p w14:paraId="6B6CE710" w14:textId="77777777" w:rsidR="005C60B2" w:rsidRDefault="0064756A" w:rsidP="005C60B2">
            <w:pPr>
              <w:rPr>
                <w:rFonts w:ascii="Arial" w:hAnsi="Arial" w:cs="Arial"/>
              </w:rPr>
            </w:pPr>
            <w:r>
              <w:rPr>
                <w:rFonts w:ascii="Arial" w:hAnsi="Arial" w:cs="Arial"/>
              </w:rPr>
              <w:t>Peter Matthew</w:t>
            </w:r>
            <w:r w:rsidR="00D47A89">
              <w:rPr>
                <w:rFonts w:ascii="Arial" w:hAnsi="Arial" w:cs="Arial"/>
              </w:rPr>
              <w:t xml:space="preserve">, </w:t>
            </w:r>
            <w:r>
              <w:rPr>
                <w:rFonts w:ascii="Arial" w:hAnsi="Arial" w:cs="Arial"/>
              </w:rPr>
              <w:t xml:space="preserve">Executive Director </w:t>
            </w:r>
            <w:r w:rsidR="00D47A89">
              <w:rPr>
                <w:rFonts w:ascii="Arial" w:hAnsi="Arial" w:cs="Arial"/>
              </w:rPr>
              <w:t>(</w:t>
            </w:r>
            <w:r>
              <w:rPr>
                <w:rFonts w:ascii="Arial" w:hAnsi="Arial" w:cs="Arial"/>
              </w:rPr>
              <w:t>Communities and People</w:t>
            </w:r>
            <w:r w:rsidR="00D47A89">
              <w:rPr>
                <w:rFonts w:ascii="Arial" w:hAnsi="Arial" w:cs="Arial"/>
              </w:rPr>
              <w:t>)</w:t>
            </w:r>
          </w:p>
          <w:p w14:paraId="2BFD7522" w14:textId="4BE92FBF" w:rsidR="00D47A89" w:rsidRPr="005C60B2" w:rsidRDefault="00D47A89" w:rsidP="005C60B2">
            <w:pPr>
              <w:rPr>
                <w:rFonts w:ascii="Arial" w:hAnsi="Arial" w:cs="Arial"/>
              </w:rPr>
            </w:pPr>
            <w:r>
              <w:rPr>
                <w:noProof/>
              </w:rPr>
              <w:drawing>
                <wp:anchor distT="0" distB="0" distL="45720" distR="45720" simplePos="0" relativeHeight="251659264" behindDoc="0" locked="0" layoutInCell="1" allowOverlap="0" wp14:anchorId="4BD9919F" wp14:editId="74B4556E">
                  <wp:simplePos x="0" y="0"/>
                  <wp:positionH relativeFrom="margin">
                    <wp:posOffset>-5080</wp:posOffset>
                  </wp:positionH>
                  <wp:positionV relativeFrom="line">
                    <wp:posOffset>203200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35835751" w14:textId="7A021E38" w:rsidR="005C60B2" w:rsidRPr="005C60B2" w:rsidRDefault="0064756A" w:rsidP="005C60B2">
            <w:pPr>
              <w:rPr>
                <w:rFonts w:ascii="Arial" w:hAnsi="Arial" w:cs="Arial"/>
              </w:rPr>
            </w:pPr>
            <w:r>
              <w:rPr>
                <w:rFonts w:ascii="Arial" w:hAnsi="Arial" w:cs="Arial"/>
              </w:rPr>
              <w:t>29</w:t>
            </w:r>
            <w:r w:rsidR="00D47A89">
              <w:rPr>
                <w:rFonts w:ascii="Arial" w:hAnsi="Arial" w:cs="Arial"/>
              </w:rPr>
              <w:t xml:space="preserve"> February 2024</w:t>
            </w:r>
          </w:p>
        </w:tc>
      </w:tr>
    </w:tbl>
    <w:p w14:paraId="0E524C06" w14:textId="77777777" w:rsidR="005C60B2" w:rsidRPr="005C60B2" w:rsidRDefault="005C60B2" w:rsidP="005C60B2">
      <w:pPr>
        <w:rPr>
          <w:rFonts w:ascii="Arial" w:hAnsi="Arial" w:cs="Arial"/>
        </w:rPr>
      </w:pPr>
    </w:p>
    <w:p w14:paraId="063B3822" w14:textId="77777777" w:rsidR="005C60B2" w:rsidRPr="005C60B2" w:rsidRDefault="005C60B2" w:rsidP="005C60B2">
      <w:pPr>
        <w:rPr>
          <w:rFonts w:ascii="Arial" w:hAnsi="Arial" w:cs="Arial"/>
          <w:b/>
        </w:rPr>
      </w:pPr>
      <w:r w:rsidRPr="005C60B2">
        <w:rPr>
          <w:rFonts w:ascii="Arial" w:hAnsi="Arial" w:cs="Arial"/>
          <w:b/>
        </w:rPr>
        <w:t>Consultee checklist</w:t>
      </w:r>
    </w:p>
    <w:p w14:paraId="28E51B70"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12F58152" w14:textId="77777777" w:rsidTr="005C60B2">
        <w:trPr>
          <w:trHeight w:val="516"/>
        </w:trPr>
        <w:tc>
          <w:tcPr>
            <w:tcW w:w="3403" w:type="dxa"/>
          </w:tcPr>
          <w:p w14:paraId="785A5C2B"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3D8EDE93"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2CFD781B"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77DAD207" w14:textId="77777777" w:rsidTr="005C60B2">
        <w:trPr>
          <w:trHeight w:val="516"/>
        </w:trPr>
        <w:tc>
          <w:tcPr>
            <w:tcW w:w="3403" w:type="dxa"/>
            <w:vAlign w:val="center"/>
          </w:tcPr>
          <w:p w14:paraId="6F6EF4A3" w14:textId="77777777" w:rsidR="005C60B2" w:rsidRDefault="005C60B2" w:rsidP="005C60B2">
            <w:pPr>
              <w:spacing w:before="120" w:after="120"/>
              <w:rPr>
                <w:rFonts w:ascii="Arial" w:hAnsi="Arial" w:cs="Arial"/>
                <w:b/>
              </w:rPr>
            </w:pPr>
            <w:r w:rsidRPr="005C60B2">
              <w:rPr>
                <w:rFonts w:ascii="Arial" w:hAnsi="Arial" w:cs="Arial"/>
                <w:b/>
              </w:rPr>
              <w:t>Senior officer</w:t>
            </w:r>
          </w:p>
          <w:p w14:paraId="0EAC06DB" w14:textId="3451A6F7" w:rsidR="005C60B2" w:rsidRPr="005C60B2" w:rsidRDefault="005C60B2" w:rsidP="005C60B2">
            <w:pPr>
              <w:spacing w:before="120" w:after="120"/>
              <w:rPr>
                <w:rFonts w:ascii="Arial" w:hAnsi="Arial" w:cs="Arial"/>
              </w:rPr>
            </w:pPr>
          </w:p>
        </w:tc>
        <w:tc>
          <w:tcPr>
            <w:tcW w:w="4536" w:type="dxa"/>
            <w:vAlign w:val="center"/>
          </w:tcPr>
          <w:p w14:paraId="788FB9ED" w14:textId="77777777" w:rsidR="005C60B2" w:rsidRPr="005C60B2" w:rsidRDefault="0064756A" w:rsidP="005C60B2">
            <w:pPr>
              <w:rPr>
                <w:rFonts w:ascii="Arial" w:hAnsi="Arial" w:cs="Arial"/>
              </w:rPr>
            </w:pPr>
            <w:r>
              <w:rPr>
                <w:rFonts w:ascii="Arial" w:hAnsi="Arial" w:cs="Arial"/>
              </w:rPr>
              <w:t>Hagan Lewisman (Active Communities Manager)</w:t>
            </w:r>
          </w:p>
        </w:tc>
        <w:tc>
          <w:tcPr>
            <w:tcW w:w="1984" w:type="dxa"/>
            <w:vAlign w:val="center"/>
          </w:tcPr>
          <w:p w14:paraId="3CDCA60B" w14:textId="46E1F288" w:rsidR="005C60B2" w:rsidRPr="005C60B2" w:rsidRDefault="0064756A" w:rsidP="005C60B2">
            <w:pPr>
              <w:rPr>
                <w:rFonts w:ascii="Arial" w:hAnsi="Arial" w:cs="Arial"/>
              </w:rPr>
            </w:pPr>
            <w:r>
              <w:rPr>
                <w:rFonts w:ascii="Arial" w:hAnsi="Arial" w:cs="Arial"/>
              </w:rPr>
              <w:t>28</w:t>
            </w:r>
            <w:r w:rsidR="00D47A89">
              <w:rPr>
                <w:rFonts w:ascii="Arial" w:hAnsi="Arial" w:cs="Arial"/>
              </w:rPr>
              <w:t xml:space="preserve"> February 2024</w:t>
            </w:r>
          </w:p>
        </w:tc>
      </w:tr>
      <w:tr w:rsidR="005C60B2" w:rsidRPr="005C60B2" w14:paraId="1C80EF4A" w14:textId="77777777" w:rsidTr="005C60B2">
        <w:trPr>
          <w:trHeight w:val="1161"/>
        </w:trPr>
        <w:tc>
          <w:tcPr>
            <w:tcW w:w="3403" w:type="dxa"/>
          </w:tcPr>
          <w:p w14:paraId="20B8552D" w14:textId="77777777" w:rsidR="005C60B2" w:rsidRDefault="005C60B2" w:rsidP="005C60B2">
            <w:pPr>
              <w:spacing w:before="120"/>
              <w:rPr>
                <w:rFonts w:ascii="Arial" w:hAnsi="Arial" w:cs="Arial"/>
                <w:b/>
              </w:rPr>
            </w:pPr>
            <w:r w:rsidRPr="005C60B2">
              <w:rPr>
                <w:rFonts w:ascii="Arial" w:hAnsi="Arial" w:cs="Arial"/>
                <w:b/>
              </w:rPr>
              <w:t>Head of Financial Services</w:t>
            </w:r>
          </w:p>
          <w:p w14:paraId="5AA851EC" w14:textId="6522228C" w:rsidR="005C60B2" w:rsidRPr="005C60B2" w:rsidRDefault="005C60B2" w:rsidP="005C60B2">
            <w:pPr>
              <w:spacing w:before="120"/>
              <w:rPr>
                <w:rFonts w:ascii="Arial" w:hAnsi="Arial" w:cs="Arial"/>
              </w:rPr>
            </w:pPr>
          </w:p>
        </w:tc>
        <w:tc>
          <w:tcPr>
            <w:tcW w:w="4536" w:type="dxa"/>
            <w:vAlign w:val="center"/>
          </w:tcPr>
          <w:p w14:paraId="065BBBE1" w14:textId="3FFC012D" w:rsidR="005C60B2" w:rsidRPr="005C60B2" w:rsidRDefault="0064756A" w:rsidP="005C60B2">
            <w:pPr>
              <w:rPr>
                <w:rFonts w:ascii="Arial" w:hAnsi="Arial" w:cs="Arial"/>
              </w:rPr>
            </w:pPr>
            <w:r>
              <w:rPr>
                <w:rFonts w:ascii="Arial" w:hAnsi="Arial" w:cs="Arial"/>
              </w:rPr>
              <w:t>Bill Lewis</w:t>
            </w:r>
            <w:r w:rsidR="00D47A89">
              <w:rPr>
                <w:rFonts w:ascii="Arial" w:hAnsi="Arial" w:cs="Arial"/>
              </w:rPr>
              <w:t>,</w:t>
            </w:r>
            <w:r>
              <w:rPr>
                <w:rFonts w:ascii="Arial" w:hAnsi="Arial" w:cs="Arial"/>
              </w:rPr>
              <w:t xml:space="preserve"> Senior </w:t>
            </w:r>
            <w:r w:rsidR="00D47A89">
              <w:rPr>
                <w:rFonts w:ascii="Arial" w:hAnsi="Arial" w:cs="Arial"/>
              </w:rPr>
              <w:t>M</w:t>
            </w:r>
            <w:r>
              <w:rPr>
                <w:rFonts w:ascii="Arial" w:hAnsi="Arial" w:cs="Arial"/>
              </w:rPr>
              <w:t xml:space="preserve">anagement </w:t>
            </w:r>
            <w:r w:rsidR="00D47A89">
              <w:rPr>
                <w:rFonts w:ascii="Arial" w:hAnsi="Arial" w:cs="Arial"/>
              </w:rPr>
              <w:t>A</w:t>
            </w:r>
            <w:r>
              <w:rPr>
                <w:rFonts w:ascii="Arial" w:hAnsi="Arial" w:cs="Arial"/>
              </w:rPr>
              <w:t>ccountant (</w:t>
            </w:r>
            <w:r w:rsidR="00D47A89">
              <w:rPr>
                <w:rFonts w:ascii="Arial" w:hAnsi="Arial" w:cs="Arial"/>
              </w:rPr>
              <w:t>on behalf of the Head of Financial Services</w:t>
            </w:r>
            <w:r>
              <w:rPr>
                <w:rFonts w:ascii="Arial" w:hAnsi="Arial" w:cs="Arial"/>
              </w:rPr>
              <w:t>)</w:t>
            </w:r>
          </w:p>
        </w:tc>
        <w:tc>
          <w:tcPr>
            <w:tcW w:w="1984" w:type="dxa"/>
            <w:vAlign w:val="center"/>
          </w:tcPr>
          <w:p w14:paraId="084364DC" w14:textId="08300494" w:rsidR="005C60B2" w:rsidRPr="005C60B2" w:rsidRDefault="0064756A" w:rsidP="005C60B2">
            <w:pPr>
              <w:rPr>
                <w:rFonts w:ascii="Arial" w:hAnsi="Arial" w:cs="Arial"/>
              </w:rPr>
            </w:pPr>
            <w:r>
              <w:rPr>
                <w:rFonts w:ascii="Arial" w:hAnsi="Arial" w:cs="Arial"/>
              </w:rPr>
              <w:t>28</w:t>
            </w:r>
            <w:r w:rsidR="00D47A89">
              <w:rPr>
                <w:rFonts w:ascii="Arial" w:hAnsi="Arial" w:cs="Arial"/>
              </w:rPr>
              <w:t xml:space="preserve"> February 20</w:t>
            </w:r>
            <w:r>
              <w:rPr>
                <w:rFonts w:ascii="Arial" w:hAnsi="Arial" w:cs="Arial"/>
              </w:rPr>
              <w:t>24</w:t>
            </w:r>
          </w:p>
        </w:tc>
      </w:tr>
      <w:tr w:rsidR="005C60B2" w:rsidRPr="005C60B2" w14:paraId="2BC91D8D" w14:textId="77777777" w:rsidTr="00D47A89">
        <w:tc>
          <w:tcPr>
            <w:tcW w:w="3403" w:type="dxa"/>
          </w:tcPr>
          <w:p w14:paraId="1968B989"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61A27377" w14:textId="352C46B5" w:rsidR="005C60B2" w:rsidRPr="005C60B2" w:rsidRDefault="005C60B2" w:rsidP="005C60B2">
            <w:pPr>
              <w:spacing w:before="120" w:after="120"/>
              <w:rPr>
                <w:rFonts w:ascii="Arial" w:hAnsi="Arial" w:cs="Arial"/>
              </w:rPr>
            </w:pPr>
          </w:p>
        </w:tc>
        <w:tc>
          <w:tcPr>
            <w:tcW w:w="4536" w:type="dxa"/>
          </w:tcPr>
          <w:p w14:paraId="70A04D04" w14:textId="77777777" w:rsidR="005C60B2" w:rsidRDefault="0064756A" w:rsidP="005C60B2">
            <w:pPr>
              <w:rPr>
                <w:rFonts w:ascii="Arial" w:hAnsi="Arial" w:cs="Arial"/>
              </w:rPr>
            </w:pPr>
            <w:r>
              <w:rPr>
                <w:rFonts w:ascii="Arial" w:hAnsi="Arial" w:cs="Arial"/>
              </w:rPr>
              <w:t>Emma Ja</w:t>
            </w:r>
            <w:r w:rsidR="00E26B63">
              <w:rPr>
                <w:rFonts w:ascii="Arial" w:hAnsi="Arial" w:cs="Arial"/>
              </w:rPr>
              <w:t>c</w:t>
            </w:r>
            <w:r>
              <w:rPr>
                <w:rFonts w:ascii="Arial" w:hAnsi="Arial" w:cs="Arial"/>
              </w:rPr>
              <w:t>kman</w:t>
            </w:r>
            <w:r w:rsidR="00D47A89">
              <w:rPr>
                <w:rFonts w:ascii="Arial" w:hAnsi="Arial" w:cs="Arial"/>
              </w:rPr>
              <w:t>, Head of Law and Governance</w:t>
            </w:r>
          </w:p>
          <w:p w14:paraId="30348D00" w14:textId="13970199" w:rsidR="00D47A89" w:rsidRPr="005C60B2" w:rsidRDefault="00D47A89" w:rsidP="005C60B2">
            <w:pPr>
              <w:rPr>
                <w:rFonts w:ascii="Arial" w:hAnsi="Arial" w:cs="Arial"/>
              </w:rPr>
            </w:pPr>
            <w:r>
              <w:rPr>
                <w:noProof/>
              </w:rPr>
              <w:drawing>
                <wp:inline distT="0" distB="0" distL="0" distR="0" wp14:anchorId="232506AD" wp14:editId="5E7DE83F">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7854" cy="592204"/>
                          </a:xfrm>
                          <a:prstGeom prst="rect">
                            <a:avLst/>
                          </a:prstGeom>
                        </pic:spPr>
                      </pic:pic>
                    </a:graphicData>
                  </a:graphic>
                </wp:inline>
              </w:drawing>
            </w:r>
          </w:p>
        </w:tc>
        <w:tc>
          <w:tcPr>
            <w:tcW w:w="1984" w:type="dxa"/>
          </w:tcPr>
          <w:p w14:paraId="6B11FAA3" w14:textId="3115F295" w:rsidR="005C60B2" w:rsidRPr="005C60B2" w:rsidRDefault="0064756A" w:rsidP="005C60B2">
            <w:pPr>
              <w:rPr>
                <w:rFonts w:ascii="Arial" w:hAnsi="Arial" w:cs="Arial"/>
              </w:rPr>
            </w:pPr>
            <w:r>
              <w:rPr>
                <w:rFonts w:ascii="Arial" w:hAnsi="Arial" w:cs="Arial"/>
              </w:rPr>
              <w:t>29</w:t>
            </w:r>
            <w:r w:rsidR="00D47A89">
              <w:rPr>
                <w:rFonts w:ascii="Arial" w:hAnsi="Arial" w:cs="Arial"/>
              </w:rPr>
              <w:t xml:space="preserve"> February 2024</w:t>
            </w:r>
          </w:p>
        </w:tc>
      </w:tr>
      <w:tr w:rsidR="005C60B2" w:rsidRPr="005C60B2" w14:paraId="12A190AE" w14:textId="77777777" w:rsidTr="005C60B2">
        <w:trPr>
          <w:trHeight w:val="562"/>
        </w:trPr>
        <w:tc>
          <w:tcPr>
            <w:tcW w:w="3403" w:type="dxa"/>
            <w:vAlign w:val="center"/>
          </w:tcPr>
          <w:p w14:paraId="5D7F7812" w14:textId="5F1ACA36" w:rsidR="00D47A89" w:rsidRPr="005C60B2" w:rsidRDefault="005C60B2" w:rsidP="00D47A89">
            <w:pPr>
              <w:spacing w:before="120" w:after="120"/>
              <w:rPr>
                <w:rFonts w:ascii="Arial" w:hAnsi="Arial" w:cs="Arial"/>
              </w:rPr>
            </w:pPr>
            <w:r w:rsidRPr="005C60B2">
              <w:rPr>
                <w:rFonts w:ascii="Arial" w:hAnsi="Arial" w:cs="Arial"/>
                <w:b/>
              </w:rPr>
              <w:lastRenderedPageBreak/>
              <w:t>Cabinet Member</w:t>
            </w:r>
            <w:r w:rsidR="00D47A89">
              <w:rPr>
                <w:rFonts w:ascii="Arial" w:hAnsi="Arial" w:cs="Arial"/>
                <w:b/>
              </w:rPr>
              <w:t>s</w:t>
            </w:r>
          </w:p>
          <w:p w14:paraId="7E2E402C" w14:textId="320802C4" w:rsidR="005C60B2" w:rsidRPr="005C60B2" w:rsidRDefault="005C60B2" w:rsidP="005C60B2">
            <w:pPr>
              <w:spacing w:before="120" w:after="120"/>
              <w:rPr>
                <w:rFonts w:ascii="Arial" w:hAnsi="Arial" w:cs="Arial"/>
              </w:rPr>
            </w:pPr>
          </w:p>
        </w:tc>
        <w:tc>
          <w:tcPr>
            <w:tcW w:w="4536" w:type="dxa"/>
            <w:vAlign w:val="center"/>
          </w:tcPr>
          <w:p w14:paraId="4F60DEEE" w14:textId="592FEF34" w:rsidR="005C60B2" w:rsidRDefault="0064756A" w:rsidP="005C60B2">
            <w:pPr>
              <w:rPr>
                <w:rFonts w:ascii="Arial" w:hAnsi="Arial" w:cs="Arial"/>
              </w:rPr>
            </w:pPr>
            <w:r>
              <w:rPr>
                <w:rFonts w:ascii="Arial" w:hAnsi="Arial" w:cs="Arial"/>
              </w:rPr>
              <w:t>C</w:t>
            </w:r>
            <w:r w:rsidR="00D47A89">
              <w:rPr>
                <w:rFonts w:ascii="Arial" w:hAnsi="Arial" w:cs="Arial"/>
              </w:rPr>
              <w:t>ounci</w:t>
            </w:r>
            <w:r>
              <w:rPr>
                <w:rFonts w:ascii="Arial" w:hAnsi="Arial" w:cs="Arial"/>
              </w:rPr>
              <w:t>ll</w:t>
            </w:r>
            <w:r w:rsidR="00D47A89">
              <w:rPr>
                <w:rFonts w:ascii="Arial" w:hAnsi="Arial" w:cs="Arial"/>
              </w:rPr>
              <w:t>o</w:t>
            </w:r>
            <w:r>
              <w:rPr>
                <w:rFonts w:ascii="Arial" w:hAnsi="Arial" w:cs="Arial"/>
              </w:rPr>
              <w:t>r Ed Turner</w:t>
            </w:r>
            <w:r w:rsidR="00D47A89">
              <w:rPr>
                <w:rFonts w:ascii="Arial" w:hAnsi="Arial" w:cs="Arial"/>
              </w:rPr>
              <w:t>, Deputy Leader (Statutory) – Finance and Asset Management</w:t>
            </w:r>
          </w:p>
          <w:p w14:paraId="1EF885D2" w14:textId="77777777" w:rsidR="00D47A89" w:rsidRDefault="00D47A89" w:rsidP="005C60B2">
            <w:pPr>
              <w:rPr>
                <w:rFonts w:ascii="Arial" w:hAnsi="Arial" w:cs="Arial"/>
              </w:rPr>
            </w:pPr>
          </w:p>
          <w:p w14:paraId="52552F8B" w14:textId="4EE17496" w:rsidR="0064756A" w:rsidRPr="005C60B2" w:rsidRDefault="0064756A" w:rsidP="005C60B2">
            <w:pPr>
              <w:rPr>
                <w:rFonts w:ascii="Arial" w:hAnsi="Arial" w:cs="Arial"/>
              </w:rPr>
            </w:pPr>
            <w:r>
              <w:rPr>
                <w:rFonts w:ascii="Arial" w:hAnsi="Arial" w:cs="Arial"/>
              </w:rPr>
              <w:t>C</w:t>
            </w:r>
            <w:r w:rsidR="00D47A89">
              <w:rPr>
                <w:rFonts w:ascii="Arial" w:hAnsi="Arial" w:cs="Arial"/>
              </w:rPr>
              <w:t>ounci</w:t>
            </w:r>
            <w:r>
              <w:rPr>
                <w:rFonts w:ascii="Arial" w:hAnsi="Arial" w:cs="Arial"/>
              </w:rPr>
              <w:t>ll</w:t>
            </w:r>
            <w:r w:rsidR="00D47A89">
              <w:rPr>
                <w:rFonts w:ascii="Arial" w:hAnsi="Arial" w:cs="Arial"/>
              </w:rPr>
              <w:t>o</w:t>
            </w:r>
            <w:r>
              <w:rPr>
                <w:rFonts w:ascii="Arial" w:hAnsi="Arial" w:cs="Arial"/>
              </w:rPr>
              <w:t>r Chewe Munkonge</w:t>
            </w:r>
            <w:r w:rsidR="00D47A89">
              <w:rPr>
                <w:rFonts w:ascii="Arial" w:hAnsi="Arial" w:cs="Arial"/>
              </w:rPr>
              <w:t>, Cabinet Member for Leisure and Parks</w:t>
            </w:r>
          </w:p>
        </w:tc>
        <w:tc>
          <w:tcPr>
            <w:tcW w:w="1984" w:type="dxa"/>
            <w:vAlign w:val="center"/>
          </w:tcPr>
          <w:p w14:paraId="290DD498" w14:textId="7A6A4041" w:rsidR="005C60B2" w:rsidRPr="005C60B2" w:rsidRDefault="0064756A" w:rsidP="005C60B2">
            <w:pPr>
              <w:rPr>
                <w:rFonts w:ascii="Arial" w:hAnsi="Arial" w:cs="Arial"/>
              </w:rPr>
            </w:pPr>
            <w:r>
              <w:rPr>
                <w:rFonts w:ascii="Arial" w:hAnsi="Arial" w:cs="Arial"/>
              </w:rPr>
              <w:t>29</w:t>
            </w:r>
            <w:r w:rsidR="00D47A89">
              <w:rPr>
                <w:rFonts w:ascii="Arial" w:hAnsi="Arial" w:cs="Arial"/>
              </w:rPr>
              <w:t xml:space="preserve"> February 20</w:t>
            </w:r>
            <w:r>
              <w:rPr>
                <w:rFonts w:ascii="Arial" w:hAnsi="Arial" w:cs="Arial"/>
              </w:rPr>
              <w:t>24</w:t>
            </w:r>
          </w:p>
        </w:tc>
      </w:tr>
    </w:tbl>
    <w:p w14:paraId="3A710E46" w14:textId="66C1DE75"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0DF4" w14:textId="77777777" w:rsidR="00D33F83" w:rsidRDefault="00D33F83" w:rsidP="00F11FD1">
      <w:r>
        <w:separator/>
      </w:r>
    </w:p>
  </w:endnote>
  <w:endnote w:type="continuationSeparator" w:id="0">
    <w:p w14:paraId="3A7AFC6B"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91E9"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699A" w14:textId="77777777" w:rsidR="00D33F83" w:rsidRDefault="00D33F83" w:rsidP="00F11FD1">
      <w:r>
        <w:separator/>
      </w:r>
    </w:p>
  </w:footnote>
  <w:footnote w:type="continuationSeparator" w:id="0">
    <w:p w14:paraId="31BC0469" w14:textId="77777777" w:rsidR="00D33F83" w:rsidRDefault="00D33F8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72A89"/>
    <w:multiLevelType w:val="hybridMultilevel"/>
    <w:tmpl w:val="779CFBC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81297"/>
    <w:multiLevelType w:val="hybridMultilevel"/>
    <w:tmpl w:val="ED2A055C"/>
    <w:lvl w:ilvl="0" w:tplc="C7383FB8">
      <w:start w:val="1"/>
      <w:numFmt w:val="decimal"/>
      <w:lvlText w:val="%1."/>
      <w:lvlJc w:val="left"/>
      <w:pPr>
        <w:ind w:left="720" w:hanging="360"/>
      </w:pPr>
      <w:rPr>
        <w:rFonts w:hint="default"/>
        <w:color w:val="2424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54D9A"/>
    <w:multiLevelType w:val="hybridMultilevel"/>
    <w:tmpl w:val="779CFBCA"/>
    <w:lvl w:ilvl="0" w:tplc="857EA2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422829">
    <w:abstractNumId w:val="6"/>
  </w:num>
  <w:num w:numId="2" w16cid:durableId="334921641">
    <w:abstractNumId w:val="1"/>
  </w:num>
  <w:num w:numId="3" w16cid:durableId="288435236">
    <w:abstractNumId w:val="9"/>
  </w:num>
  <w:num w:numId="4" w16cid:durableId="1233470717">
    <w:abstractNumId w:val="2"/>
  </w:num>
  <w:num w:numId="5" w16cid:durableId="1736470045">
    <w:abstractNumId w:val="3"/>
  </w:num>
  <w:num w:numId="6" w16cid:durableId="1831677625">
    <w:abstractNumId w:val="5"/>
  </w:num>
  <w:num w:numId="7" w16cid:durableId="1071780509">
    <w:abstractNumId w:val="4"/>
  </w:num>
  <w:num w:numId="8" w16cid:durableId="1841894536">
    <w:abstractNumId w:val="7"/>
  </w:num>
  <w:num w:numId="9" w16cid:durableId="1696074863">
    <w:abstractNumId w:val="8"/>
  </w:num>
  <w:num w:numId="10" w16cid:durableId="29688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B4310"/>
    <w:rsid w:val="000D2140"/>
    <w:rsid w:val="000F4239"/>
    <w:rsid w:val="0013528E"/>
    <w:rsid w:val="00135C85"/>
    <w:rsid w:val="001A233C"/>
    <w:rsid w:val="001C52FE"/>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A049B"/>
    <w:rsid w:val="004B1944"/>
    <w:rsid w:val="00504E43"/>
    <w:rsid w:val="00532DF2"/>
    <w:rsid w:val="0055474B"/>
    <w:rsid w:val="005C60B2"/>
    <w:rsid w:val="005C6416"/>
    <w:rsid w:val="005E37E4"/>
    <w:rsid w:val="005F5A9A"/>
    <w:rsid w:val="00616F3F"/>
    <w:rsid w:val="006247C4"/>
    <w:rsid w:val="0064756A"/>
    <w:rsid w:val="006B1A11"/>
    <w:rsid w:val="006F6326"/>
    <w:rsid w:val="006F6731"/>
    <w:rsid w:val="007023AB"/>
    <w:rsid w:val="00757726"/>
    <w:rsid w:val="007908F4"/>
    <w:rsid w:val="007D270E"/>
    <w:rsid w:val="00801BEB"/>
    <w:rsid w:val="00804BF2"/>
    <w:rsid w:val="00834D72"/>
    <w:rsid w:val="00844D21"/>
    <w:rsid w:val="00854133"/>
    <w:rsid w:val="008613FB"/>
    <w:rsid w:val="008676E5"/>
    <w:rsid w:val="008900A7"/>
    <w:rsid w:val="00891B19"/>
    <w:rsid w:val="008A22C6"/>
    <w:rsid w:val="008E4629"/>
    <w:rsid w:val="00960744"/>
    <w:rsid w:val="00986C99"/>
    <w:rsid w:val="009F048F"/>
    <w:rsid w:val="009F6401"/>
    <w:rsid w:val="00A12928"/>
    <w:rsid w:val="00A253FE"/>
    <w:rsid w:val="00A96C08"/>
    <w:rsid w:val="00AC5899"/>
    <w:rsid w:val="00B15340"/>
    <w:rsid w:val="00B87695"/>
    <w:rsid w:val="00B928EF"/>
    <w:rsid w:val="00BD4490"/>
    <w:rsid w:val="00BE1FD4"/>
    <w:rsid w:val="00BF240D"/>
    <w:rsid w:val="00BF630A"/>
    <w:rsid w:val="00C07F80"/>
    <w:rsid w:val="00C251F7"/>
    <w:rsid w:val="00C6130E"/>
    <w:rsid w:val="00C678ED"/>
    <w:rsid w:val="00CA69DB"/>
    <w:rsid w:val="00CB5E4F"/>
    <w:rsid w:val="00CD4BC9"/>
    <w:rsid w:val="00CE6085"/>
    <w:rsid w:val="00D33F83"/>
    <w:rsid w:val="00D47A89"/>
    <w:rsid w:val="00D543D9"/>
    <w:rsid w:val="00DB01D4"/>
    <w:rsid w:val="00DC2E8D"/>
    <w:rsid w:val="00DD1A34"/>
    <w:rsid w:val="00DD4885"/>
    <w:rsid w:val="00DD51B2"/>
    <w:rsid w:val="00E127E3"/>
    <w:rsid w:val="00E2036C"/>
    <w:rsid w:val="00E20A54"/>
    <w:rsid w:val="00E26B63"/>
    <w:rsid w:val="00E270E5"/>
    <w:rsid w:val="00E97024"/>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05D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6B63"/>
    <w:rPr>
      <w:color w:val="605E5C"/>
      <w:shd w:val="clear" w:color="auto" w:fill="E1DFDD"/>
    </w:rPr>
  </w:style>
  <w:style w:type="paragraph" w:styleId="Revision">
    <w:name w:val="Revision"/>
    <w:hidden/>
    <w:uiPriority w:val="99"/>
    <w:semiHidden/>
    <w:rsid w:val="0013528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8952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22&amp;Ver=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6F9F-E581-4C52-B239-8AE57F89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6</cp:revision>
  <cp:lastPrinted>2015-07-27T09:35:00Z</cp:lastPrinted>
  <dcterms:created xsi:type="dcterms:W3CDTF">2024-02-29T15:48:00Z</dcterms:created>
  <dcterms:modified xsi:type="dcterms:W3CDTF">2024-03-01T10:28:00Z</dcterms:modified>
</cp:coreProperties>
</file>